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030FC"/>
    <w:p w:rsidR="000030FC"/>
    <w:p w:rsidR="000030FC"/>
    <w:p w:rsidR="000030FC"/>
    <w:p w:rsidR="000030FC"/>
    <w:p w:rsidR="000030FC"/>
    <w:p w:rsidR="000030FC"/>
    <w:p w:rsidR="000030FC"/>
    <w:p w:rsidR="000030FC" w:rsidRPr="000030FC" w:rsidP="00F211DF">
      <w:pPr>
        <w:spacing w:line="480" w:lineRule="auto"/>
        <w:jc w:val="both"/>
        <w:rPr>
          <w:rFonts w:ascii="Times New Roman" w:hAnsi="Times New Roman" w:cs="Times New Roman"/>
          <w:sz w:val="24"/>
          <w:szCs w:val="24"/>
        </w:rPr>
      </w:pPr>
    </w:p>
    <w:p w:rsidR="000030FC" w:rsidRPr="000030FC"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MARKETING LAW</w:t>
      </w:r>
    </w:p>
    <w:p w:rsidR="000030FC" w:rsidRPr="000030FC"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Author’s Name</w:t>
      </w:r>
    </w:p>
    <w:p w:rsidR="000030FC" w:rsidRPr="000030FC"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Institutional Affiliation</w:t>
      </w:r>
    </w:p>
    <w:p w:rsidR="000030FC" w:rsidRPr="000030FC"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Instructor</w:t>
      </w:r>
    </w:p>
    <w:p w:rsidR="000030FC" w:rsidRPr="000030FC" w:rsidP="000030FC">
      <w:pPr>
        <w:spacing w:line="480" w:lineRule="auto"/>
        <w:ind w:firstLine="720"/>
        <w:jc w:val="center"/>
        <w:rPr>
          <w:rFonts w:ascii="Times New Roman" w:hAnsi="Times New Roman" w:cs="Times New Roman"/>
          <w:sz w:val="24"/>
          <w:szCs w:val="24"/>
        </w:rPr>
      </w:pPr>
      <w:r w:rsidRPr="000030FC">
        <w:rPr>
          <w:rFonts w:ascii="Times New Roman" w:hAnsi="Times New Roman" w:cs="Times New Roman"/>
          <w:sz w:val="24"/>
          <w:szCs w:val="24"/>
        </w:rPr>
        <w:t>Date</w:t>
      </w:r>
    </w:p>
    <w:p w:rsidR="000030FC" w:rsidRPr="000030FC" w:rsidP="000030FC">
      <w:pPr>
        <w:spacing w:line="480" w:lineRule="auto"/>
        <w:ind w:firstLine="720"/>
        <w:jc w:val="center"/>
        <w:rPr>
          <w:rFonts w:ascii="Times New Roman" w:hAnsi="Times New Roman" w:cs="Times New Roman"/>
          <w:sz w:val="24"/>
          <w:szCs w:val="24"/>
        </w:rPr>
      </w:pPr>
    </w:p>
    <w:p w:rsidR="000030FC" w:rsidRPr="000030FC" w:rsidP="000030FC">
      <w:pPr>
        <w:spacing w:line="480" w:lineRule="auto"/>
        <w:ind w:firstLine="720"/>
        <w:jc w:val="both"/>
        <w:rPr>
          <w:rFonts w:ascii="Times New Roman" w:hAnsi="Times New Roman" w:cs="Times New Roman"/>
          <w:sz w:val="24"/>
          <w:szCs w:val="24"/>
        </w:rPr>
      </w:pPr>
    </w:p>
    <w:p w:rsidR="000030FC" w:rsidP="000030FC">
      <w:pPr>
        <w:spacing w:line="480" w:lineRule="auto"/>
        <w:jc w:val="both"/>
        <w:rPr>
          <w:rFonts w:ascii="Times New Roman" w:hAnsi="Times New Roman" w:cs="Times New Roman"/>
          <w:sz w:val="24"/>
          <w:szCs w:val="24"/>
        </w:rPr>
      </w:pPr>
    </w:p>
    <w:p w:rsidR="000030FC" w:rsidRPr="000030FC" w:rsidP="000030FC">
      <w:pPr>
        <w:spacing w:line="480" w:lineRule="auto"/>
        <w:jc w:val="both"/>
        <w:rPr>
          <w:rFonts w:ascii="Times New Roman" w:hAnsi="Times New Roman" w:cs="Times New Roman"/>
          <w:sz w:val="24"/>
          <w:szCs w:val="24"/>
        </w:rPr>
      </w:pPr>
    </w:p>
    <w:p w:rsidR="000030FC" w:rsidRPr="000030FC" w:rsidP="000030FC">
      <w:pPr>
        <w:spacing w:line="480" w:lineRule="auto"/>
        <w:ind w:firstLine="720"/>
        <w:jc w:val="both"/>
        <w:rPr>
          <w:rFonts w:ascii="Times New Roman" w:hAnsi="Times New Roman" w:cs="Times New Roman"/>
          <w:sz w:val="24"/>
          <w:szCs w:val="24"/>
        </w:rPr>
      </w:pPr>
    </w:p>
    <w:p w:rsidR="0041550C" w:rsidRPr="000030FC" w:rsidP="000030FC">
      <w:pPr>
        <w:spacing w:line="480" w:lineRule="auto"/>
        <w:ind w:firstLine="720"/>
        <w:jc w:val="both"/>
        <w:rPr>
          <w:rFonts w:ascii="Times New Roman" w:hAnsi="Times New Roman" w:cs="Times New Roman"/>
          <w:sz w:val="24"/>
          <w:szCs w:val="24"/>
        </w:rPr>
      </w:pPr>
      <w:r w:rsidRPr="000030FC">
        <w:rPr>
          <w:rFonts w:ascii="Times New Roman" w:hAnsi="Times New Roman" w:cs="Times New Roman"/>
          <w:sz w:val="24"/>
          <w:szCs w:val="24"/>
        </w:rPr>
        <w:t>The doctrine of respondeat superior exemplifies the general rule that an employer is responsible for its employees' wrongful acts or omissions.  Under this doctrine, an employer</w:t>
      </w:r>
      <w:r w:rsidR="00F211DF">
        <w:rPr>
          <w:rFonts w:ascii="Times New Roman" w:hAnsi="Times New Roman" w:cs="Times New Roman"/>
          <w:sz w:val="24"/>
          <w:szCs w:val="24"/>
        </w:rPr>
        <w:t xml:space="preserve"> is liable for the negligent actions</w:t>
      </w:r>
      <w:bookmarkStart w:id="0" w:name="_GoBack"/>
      <w:bookmarkEnd w:id="0"/>
      <w:r w:rsidRPr="000030FC">
        <w:rPr>
          <w:rFonts w:ascii="Times New Roman" w:hAnsi="Times New Roman" w:cs="Times New Roman"/>
          <w:sz w:val="24"/>
          <w:szCs w:val="24"/>
        </w:rPr>
        <w:t xml:space="preserve"> of their agent or employee, mainly if such acts occur in the course and scope of employment or agency</w:t>
      </w:r>
      <w:r w:rsidRPr="000030FC" w:rsidR="00525EB8">
        <w:rPr>
          <w:rFonts w:ascii="Times New Roman" w:hAnsi="Times New Roman" w:cs="Times New Roman"/>
          <w:sz w:val="24"/>
          <w:szCs w:val="24"/>
        </w:rPr>
        <w:t xml:space="preserve">. In my opinion, the plaintiffs, </w:t>
      </w:r>
      <w:r w:rsidRPr="000030FC">
        <w:rPr>
          <w:rFonts w:ascii="Times New Roman" w:hAnsi="Times New Roman" w:cs="Times New Roman"/>
          <w:sz w:val="24"/>
          <w:szCs w:val="24"/>
        </w:rPr>
        <w:t>Boss and Griffin</w:t>
      </w:r>
      <w:r w:rsidRPr="000030FC" w:rsidR="00525EB8">
        <w:rPr>
          <w:rFonts w:ascii="Times New Roman" w:hAnsi="Times New Roman" w:cs="Times New Roman"/>
          <w:sz w:val="24"/>
          <w:szCs w:val="24"/>
        </w:rPr>
        <w:t>, sued Chi</w:t>
      </w:r>
      <w:r w:rsidRPr="000030FC">
        <w:rPr>
          <w:rFonts w:ascii="Times New Roman" w:hAnsi="Times New Roman" w:cs="Times New Roman"/>
          <w:sz w:val="24"/>
          <w:szCs w:val="24"/>
        </w:rPr>
        <w:t>l</w:t>
      </w:r>
      <w:r w:rsidRPr="000030FC" w:rsidR="00525EB8">
        <w:rPr>
          <w:rFonts w:ascii="Times New Roman" w:hAnsi="Times New Roman" w:cs="Times New Roman"/>
          <w:sz w:val="24"/>
          <w:szCs w:val="24"/>
        </w:rPr>
        <w:t>i</w:t>
      </w:r>
      <w:r w:rsidRPr="000030FC">
        <w:rPr>
          <w:rFonts w:ascii="Times New Roman" w:hAnsi="Times New Roman" w:cs="Times New Roman"/>
          <w:sz w:val="24"/>
          <w:szCs w:val="24"/>
        </w:rPr>
        <w:t>s</w:t>
      </w:r>
      <w:r w:rsidRPr="000030FC" w:rsidR="00525EB8">
        <w:rPr>
          <w:rFonts w:ascii="Times New Roman" w:hAnsi="Times New Roman" w:cs="Times New Roman"/>
          <w:sz w:val="24"/>
          <w:szCs w:val="24"/>
        </w:rPr>
        <w:t xml:space="preserve"> for compensatory damages and their injuries because they argued that the patron was an agent from Chilis. Thus the company was liable to them, based on the doctrine of respondeat superior. Further, they argued that the patron committed the offense in the course of employment. Therefore, Chilis was supposed to take responsibility for the wrong acts. However, I don't think the plaintiffs had a good chance of winning the case against Chilis </w:t>
      </w:r>
      <w:r w:rsidRPr="000030FC" w:rsidR="00034DD4">
        <w:rPr>
          <w:rFonts w:ascii="Times New Roman" w:hAnsi="Times New Roman" w:cs="Times New Roman"/>
          <w:sz w:val="24"/>
          <w:szCs w:val="24"/>
        </w:rPr>
        <w:t>since the restaurant denied that the agent was not theirs.</w:t>
      </w:r>
    </w:p>
    <w:p w:rsidR="000030FC" w:rsidRPr="000030FC" w:rsidP="000030FC">
      <w:pPr>
        <w:spacing w:line="480" w:lineRule="auto"/>
        <w:ind w:firstLine="720"/>
        <w:jc w:val="both"/>
        <w:rPr>
          <w:rFonts w:ascii="Times New Roman" w:hAnsi="Times New Roman" w:cs="Times New Roman"/>
          <w:sz w:val="24"/>
          <w:szCs w:val="24"/>
        </w:rPr>
      </w:pPr>
      <w:r w:rsidRPr="000030FC">
        <w:rPr>
          <w:rFonts w:ascii="Times New Roman" w:hAnsi="Times New Roman" w:cs="Times New Roman"/>
          <w:sz w:val="24"/>
          <w:szCs w:val="24"/>
        </w:rPr>
        <w:t>According to the existing elements, there was insufficient evidence to ascertain that the patron was an agent of Chilis restaurant.</w:t>
      </w:r>
      <w:r w:rsidRPr="000030FC" w:rsidR="00D53E7F">
        <w:rPr>
          <w:rFonts w:ascii="Times New Roman" w:hAnsi="Times New Roman" w:cs="Times New Roman"/>
          <w:sz w:val="24"/>
          <w:szCs w:val="24"/>
        </w:rPr>
        <w:t xml:space="preserve"> This is because; no information indicated any preliminary communication between the patron and the restaurant manager. The events were spontaneous, and fast-breaking and no member of Chili's staff joined the pursuit. Even though the plaintiffs argued that Chilis </w:t>
      </w:r>
      <w:r w:rsidRPr="000030FC" w:rsidR="0006559F">
        <w:rPr>
          <w:rFonts w:ascii="Times New Roman" w:hAnsi="Times New Roman" w:cs="Times New Roman"/>
          <w:sz w:val="24"/>
          <w:szCs w:val="24"/>
        </w:rPr>
        <w:t>effectively assented to an agency relationship by accepting the patron's reconnaissance reports during the chase and never instructed him to break off from the pursuit, the circumstances are not enough to prove that the patron was an agent of Chilis restaurant. Therefore, the restaurant patron cannot be held liable for the actions. The patron was pursuing petty crime, and Chilis even reported the crime to the police.</w:t>
      </w:r>
    </w:p>
    <w:p w:rsidR="000030FC" w:rsidRPr="000030FC" w:rsidP="000030FC">
      <w:pPr>
        <w:spacing w:line="480" w:lineRule="auto"/>
        <w:ind w:firstLine="720"/>
        <w:jc w:val="both"/>
        <w:rPr>
          <w:rFonts w:ascii="Times New Roman" w:hAnsi="Times New Roman" w:cs="Times New Roman"/>
          <w:sz w:val="24"/>
          <w:szCs w:val="24"/>
        </w:rPr>
      </w:pPr>
      <w:r w:rsidRPr="000030FC">
        <w:rPr>
          <w:rFonts w:ascii="Times New Roman" w:hAnsi="Times New Roman" w:cs="Times New Roman"/>
          <w:sz w:val="24"/>
          <w:szCs w:val="24"/>
        </w:rPr>
        <w:t xml:space="preserve">In my opinion, the ruling given by the court about the case was fair. Even though the plaintiffs had a right to file the lawsuit, making the restaurant pay for the patron's actions wouldn't have been acceptable. This is because there was no information provided to </w:t>
      </w:r>
      <w:r w:rsidRPr="000030FC">
        <w:rPr>
          <w:rFonts w:ascii="Times New Roman" w:hAnsi="Times New Roman" w:cs="Times New Roman"/>
          <w:sz w:val="24"/>
          <w:szCs w:val="24"/>
        </w:rPr>
        <w:t>firmly indicate that the patron was Chili's agent and that the restaurant had any effective control over the patron.</w:t>
      </w:r>
    </w:p>
    <w:sectPr w:rsidSect="000030FC">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0F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6113086"/>
      <w:docPartObj>
        <w:docPartGallery w:val="Page Numbers (Top of Page)"/>
        <w:docPartUnique/>
      </w:docPartObj>
    </w:sdtPr>
    <w:sdtEndPr>
      <w:rPr>
        <w:noProof/>
      </w:rPr>
    </w:sdtEndPr>
    <w:sdtContent>
      <w:p w:rsidR="000030FC">
        <w:pPr>
          <w:pStyle w:val="Header"/>
          <w:jc w:val="right"/>
        </w:pPr>
        <w:r>
          <w:t xml:space="preserve">MARKETING LAW                                                                                                                                                          </w:t>
        </w:r>
        <w:r>
          <w:fldChar w:fldCharType="begin"/>
        </w:r>
        <w:r>
          <w:instrText xml:space="preserve"> PAGE   \* MERGEFORMAT </w:instrText>
        </w:r>
        <w:r>
          <w:fldChar w:fldCharType="separate"/>
        </w:r>
        <w:r w:rsidR="00F211DF">
          <w:rPr>
            <w:noProof/>
          </w:rPr>
          <w:t>3</w:t>
        </w:r>
        <w:r>
          <w:rPr>
            <w:noProof/>
          </w:rPr>
          <w:fldChar w:fldCharType="end"/>
        </w:r>
      </w:p>
    </w:sdtContent>
  </w:sdt>
  <w:p w:rsidR="00003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0FC">
    <w:pPr>
      <w:pStyle w:val="Header"/>
    </w:pPr>
    <w:r>
      <w:t>Running Head: MARKETING LAW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16"/>
    <w:rsid w:val="000030FC"/>
    <w:rsid w:val="00034DD4"/>
    <w:rsid w:val="0006559F"/>
    <w:rsid w:val="002C1BAB"/>
    <w:rsid w:val="0041550C"/>
    <w:rsid w:val="00525EB8"/>
    <w:rsid w:val="00570916"/>
    <w:rsid w:val="007632D7"/>
    <w:rsid w:val="00B67107"/>
    <w:rsid w:val="00D53E7F"/>
    <w:rsid w:val="00F211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FC"/>
  </w:style>
  <w:style w:type="paragraph" w:styleId="Footer">
    <w:name w:val="footer"/>
    <w:basedOn w:val="Normal"/>
    <w:link w:val="FooterChar"/>
    <w:uiPriority w:val="99"/>
    <w:unhideWhenUsed/>
    <w:rsid w:val="00003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2021-04-30T16:11:00Z</dcterms:created>
  <dcterms:modified xsi:type="dcterms:W3CDTF">2021-04-30T17:18:00Z</dcterms:modified>
</cp:coreProperties>
</file>